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5A7" w:rsidRDefault="006F015D">
      <w:pPr>
        <w:jc w:val="both"/>
        <w:rPr>
          <w:rFonts w:ascii="Arial" w:eastAsia="Arial" w:hAnsi="Arial" w:cs="Arial"/>
          <w:b/>
          <w:smallCaps/>
          <w:sz w:val="24"/>
          <w:szCs w:val="24"/>
        </w:rPr>
      </w:pPr>
      <w:bookmarkStart w:id="0" w:name="_heading=h.30j0zll" w:colFirst="0" w:colLast="0"/>
      <w:bookmarkStart w:id="1" w:name="_GoBack"/>
      <w:bookmarkEnd w:id="0"/>
      <w:bookmarkEnd w:id="1"/>
      <w:r>
        <w:rPr>
          <w:noProof/>
          <w:lang w:eastAsia="en-GB"/>
        </w:rPr>
        <w:drawing>
          <wp:anchor distT="0" distB="0" distL="114300" distR="114300" simplePos="0" relativeHeight="251658240" behindDoc="0" locked="0" layoutInCell="1" hidden="0" allowOverlap="1">
            <wp:simplePos x="0" y="0"/>
            <wp:positionH relativeFrom="column">
              <wp:posOffset>96523</wp:posOffset>
            </wp:positionH>
            <wp:positionV relativeFrom="paragraph">
              <wp:posOffset>1698625</wp:posOffset>
            </wp:positionV>
            <wp:extent cx="1647190" cy="1371600"/>
            <wp:effectExtent l="0" t="0" r="0" b="0"/>
            <wp:wrapNone/>
            <wp:docPr id="10"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8"/>
                    <a:srcRect/>
                    <a:stretch>
                      <a:fillRect/>
                    </a:stretch>
                  </pic:blipFill>
                  <pic:spPr>
                    <a:xfrm>
                      <a:off x="0" y="0"/>
                      <a:ext cx="1647190" cy="1371600"/>
                    </a:xfrm>
                    <a:prstGeom prst="rect">
                      <a:avLst/>
                    </a:prstGeom>
                    <a:ln/>
                  </pic:spPr>
                </pic:pic>
              </a:graphicData>
            </a:graphic>
          </wp:anchor>
        </w:drawing>
      </w: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6F015D">
      <w:pPr>
        <w:rPr>
          <w:rFonts w:ascii="Arial" w:eastAsia="Arial" w:hAnsi="Arial" w:cs="Arial"/>
          <w:sz w:val="24"/>
          <w:szCs w:val="24"/>
        </w:rPr>
      </w:pPr>
      <w:r>
        <w:rPr>
          <w:rFonts w:ascii="Arial" w:eastAsia="Arial" w:hAnsi="Arial" w:cs="Arial"/>
          <w:noProof/>
          <w:sz w:val="24"/>
          <w:szCs w:val="24"/>
          <w:lang w:eastAsia="en-GB"/>
        </w:rPr>
        <mc:AlternateContent>
          <mc:Choice Requires="wpg">
            <w:drawing>
              <wp:anchor distT="0" distB="0" distL="114300" distR="114300" simplePos="0" relativeHeight="251659264" behindDoc="0" locked="0" layoutInCell="1" hidden="0" allowOverlap="1">
                <wp:simplePos x="0" y="0"/>
                <wp:positionH relativeFrom="page">
                  <wp:posOffset>1009650</wp:posOffset>
                </wp:positionH>
                <wp:positionV relativeFrom="margin">
                  <wp:posOffset>1504950</wp:posOffset>
                </wp:positionV>
                <wp:extent cx="6286500" cy="6748463"/>
                <wp:effectExtent l="0" t="0" r="0" b="0"/>
                <wp:wrapNone/>
                <wp:docPr id="9" name="Group 9"/>
                <wp:cNvGraphicFramePr/>
                <a:graphic xmlns:a="http://schemas.openxmlformats.org/drawingml/2006/main">
                  <a:graphicData uri="http://schemas.microsoft.com/office/word/2010/wordprocessingGroup">
                    <wpg:wgp>
                      <wpg:cNvGrpSpPr/>
                      <wpg:grpSpPr>
                        <a:xfrm>
                          <a:off x="0" y="0"/>
                          <a:ext cx="6286500" cy="6748463"/>
                          <a:chOff x="2202750" y="0"/>
                          <a:chExt cx="6286500" cy="7560000"/>
                        </a:xfrm>
                      </wpg:grpSpPr>
                      <wpg:grpSp>
                        <wpg:cNvPr id="1" name="Group 1"/>
                        <wpg:cNvGrpSpPr/>
                        <wpg:grpSpPr>
                          <a:xfrm>
                            <a:off x="2202750" y="0"/>
                            <a:ext cx="6286500" cy="7560000"/>
                            <a:chOff x="2202750" y="0"/>
                            <a:chExt cx="6286525" cy="7560000"/>
                          </a:xfrm>
                        </wpg:grpSpPr>
                        <wps:wsp>
                          <wps:cNvPr id="2" name="Rectangle 2"/>
                          <wps:cNvSpPr/>
                          <wps:spPr>
                            <a:xfrm>
                              <a:off x="2202750" y="0"/>
                              <a:ext cx="6286525" cy="7560000"/>
                            </a:xfrm>
                            <a:prstGeom prst="rect">
                              <a:avLst/>
                            </a:prstGeom>
                            <a:noFill/>
                            <a:ln>
                              <a:noFill/>
                            </a:ln>
                          </wps:spPr>
                          <wps:txbx>
                            <w:txbxContent>
                              <w:p w:rsidR="004415A7" w:rsidRDefault="004415A7">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2202750" y="0"/>
                              <a:chExt cx="6286500" cy="7560000"/>
                            </a:xfrm>
                          </wpg:grpSpPr>
                          <wps:wsp>
                            <wps:cNvPr id="4" name="Rectangle 4"/>
                            <wps:cNvSpPr/>
                            <wps:spPr>
                              <a:xfrm>
                                <a:off x="2202750" y="0"/>
                                <a:ext cx="6286500" cy="7560000"/>
                              </a:xfrm>
                              <a:prstGeom prst="rect">
                                <a:avLst/>
                              </a:prstGeom>
                              <a:noFill/>
                              <a:ln>
                                <a:noFill/>
                              </a:ln>
                            </wps:spPr>
                            <wps:txbx>
                              <w:txbxContent>
                                <w:p w:rsidR="004415A7" w:rsidRDefault="004415A7">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0"/>
                                <a:ext cx="6286500" cy="7560000"/>
                                <a:chOff x="-133357" y="-2276513"/>
                                <a:chExt cx="6286835" cy="8320544"/>
                              </a:xfrm>
                            </wpg:grpSpPr>
                            <wps:wsp>
                              <wps:cNvPr id="6" name="Rectangle 6"/>
                              <wps:cNvSpPr/>
                              <wps:spPr>
                                <a:xfrm>
                                  <a:off x="-133357" y="-2276513"/>
                                  <a:ext cx="6286825" cy="8320525"/>
                                </a:xfrm>
                                <a:prstGeom prst="rect">
                                  <a:avLst/>
                                </a:prstGeom>
                                <a:noFill/>
                                <a:ln>
                                  <a:noFill/>
                                </a:ln>
                              </wps:spPr>
                              <wps:txbx>
                                <w:txbxContent>
                                  <w:p w:rsidR="004415A7" w:rsidRDefault="004415A7">
                                    <w:pPr>
                                      <w:spacing w:after="0" w:line="240" w:lineRule="auto"/>
                                      <w:textDirection w:val="btLr"/>
                                    </w:pPr>
                                  </w:p>
                                </w:txbxContent>
                              </wps:txbx>
                              <wps:bodyPr spcFirstLastPara="1" wrap="square" lIns="91425" tIns="91425" rIns="91425" bIns="91425" anchor="ctr" anchorCtr="0">
                                <a:noAutofit/>
                              </wps:bodyPr>
                            </wps:wsp>
                            <wps:wsp>
                              <wps:cNvPr id="7" name="Rectangle 7"/>
                              <wps:cNvSpPr/>
                              <wps:spPr>
                                <a:xfrm>
                                  <a:off x="2980383" y="5629376"/>
                                  <a:ext cx="3173095" cy="414655"/>
                                </a:xfrm>
                                <a:prstGeom prst="rect">
                                  <a:avLst/>
                                </a:prstGeom>
                                <a:noFill/>
                                <a:ln>
                                  <a:noFill/>
                                </a:ln>
                              </wps:spPr>
                              <wps:txbx>
                                <w:txbxContent>
                                  <w:p w:rsidR="004415A7" w:rsidRDefault="004415A7">
                                    <w:pPr>
                                      <w:spacing w:line="275" w:lineRule="auto"/>
                                      <w:jc w:val="right"/>
                                      <w:textDirection w:val="btLr"/>
                                    </w:pPr>
                                  </w:p>
                                </w:txbxContent>
                              </wps:txbx>
                              <wps:bodyPr spcFirstLastPara="1" wrap="square" lIns="91425" tIns="45700" rIns="91425" bIns="45700" anchor="t" anchorCtr="0">
                                <a:noAutofit/>
                              </wps:bodyPr>
                            </wps:wsp>
                            <wps:wsp>
                              <wps:cNvPr id="8" name="Rectangle 8"/>
                              <wps:cNvSpPr/>
                              <wps:spPr>
                                <a:xfrm>
                                  <a:off x="-133357" y="-2276513"/>
                                  <a:ext cx="5485128" cy="4615177"/>
                                </a:xfrm>
                                <a:prstGeom prst="rect">
                                  <a:avLst/>
                                </a:prstGeom>
                                <a:noFill/>
                                <a:ln>
                                  <a:noFill/>
                                </a:ln>
                              </wps:spPr>
                              <wps:txbx>
                                <w:txbxContent>
                                  <w:p w:rsidR="004415A7" w:rsidRDefault="004415A7">
                                    <w:pPr>
                                      <w:spacing w:after="0" w:line="275" w:lineRule="auto"/>
                                      <w:textDirection w:val="btLr"/>
                                    </w:pPr>
                                  </w:p>
                                  <w:p w:rsidR="004415A7" w:rsidRDefault="004415A7">
                                    <w:pPr>
                                      <w:spacing w:after="0" w:line="275" w:lineRule="auto"/>
                                      <w:textDirection w:val="btLr"/>
                                    </w:pPr>
                                  </w:p>
                                  <w:p w:rsidR="004415A7" w:rsidRDefault="004415A7">
                                    <w:pPr>
                                      <w:spacing w:after="0" w:line="275" w:lineRule="auto"/>
                                      <w:textDirection w:val="btLr"/>
                                    </w:pPr>
                                  </w:p>
                                  <w:p w:rsidR="004415A7" w:rsidRDefault="004415A7">
                                    <w:pPr>
                                      <w:spacing w:after="0" w:line="275" w:lineRule="auto"/>
                                      <w:textDirection w:val="btLr"/>
                                    </w:pPr>
                                  </w:p>
                                  <w:p w:rsidR="004415A7" w:rsidRDefault="004415A7">
                                    <w:pPr>
                                      <w:spacing w:after="0" w:line="275" w:lineRule="auto"/>
                                      <w:textDirection w:val="btLr"/>
                                    </w:pPr>
                                  </w:p>
                                  <w:p w:rsidR="004415A7" w:rsidRDefault="006F015D">
                                    <w:pPr>
                                      <w:spacing w:after="0" w:line="275" w:lineRule="auto"/>
                                      <w:textDirection w:val="btLr"/>
                                    </w:pPr>
                                    <w:r>
                                      <w:rPr>
                                        <w:b/>
                                        <w:color w:val="1F497D"/>
                                        <w:sz w:val="72"/>
                                      </w:rPr>
                                      <w:t xml:space="preserve">Framework </w:t>
                                    </w:r>
                                  </w:p>
                                  <w:p w:rsidR="004415A7" w:rsidRDefault="006F015D">
                                    <w:pPr>
                                      <w:spacing w:after="0" w:line="275" w:lineRule="auto"/>
                                      <w:textDirection w:val="btLr"/>
                                    </w:pPr>
                                    <w:r>
                                      <w:rPr>
                                        <w:b/>
                                        <w:color w:val="1F497D"/>
                                        <w:sz w:val="72"/>
                                      </w:rPr>
                                      <w:t>Award Form</w:t>
                                    </w:r>
                                  </w:p>
                                  <w:p w:rsidR="004415A7" w:rsidRDefault="004415A7">
                                    <w:pPr>
                                      <w:spacing w:line="275" w:lineRule="auto"/>
                                      <w:textDirection w:val="btLr"/>
                                    </w:pPr>
                                  </w:p>
                                </w:txbxContent>
                              </wps:txbx>
                              <wps:bodyPr spcFirstLastPara="1" wrap="square" lIns="91425" tIns="45700" rIns="91425" bIns="45700" anchor="b" anchorCtr="0">
                                <a:noAutofit/>
                              </wps:bodyPr>
                            </wps:w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1009650</wp:posOffset>
                </wp:positionH>
                <wp:positionV relativeFrom="margin">
                  <wp:posOffset>1504950</wp:posOffset>
                </wp:positionV>
                <wp:extent cx="6286500" cy="6748463"/>
                <wp:effectExtent b="0" l="0" r="0" t="0"/>
                <wp:wrapNone/>
                <wp:docPr id="9"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6286500" cy="6748463"/>
                        </a:xfrm>
                        <a:prstGeom prst="rect"/>
                        <a:ln/>
                      </pic:spPr>
                    </pic:pic>
                  </a:graphicData>
                </a:graphic>
              </wp:anchor>
            </w:drawing>
          </mc:Fallback>
        </mc:AlternateContent>
      </w: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pPr>
    </w:p>
    <w:p w:rsidR="004415A7" w:rsidRDefault="004415A7">
      <w:pPr>
        <w:rPr>
          <w:rFonts w:ascii="Arial" w:eastAsia="Arial" w:hAnsi="Arial" w:cs="Arial"/>
          <w:sz w:val="24"/>
          <w:szCs w:val="24"/>
        </w:rPr>
        <w:sectPr w:rsidR="004415A7">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sectPr>
      </w:pPr>
    </w:p>
    <w:p w:rsidR="004415A7" w:rsidRDefault="004415A7">
      <w:pPr>
        <w:jc w:val="both"/>
        <w:rPr>
          <w:rFonts w:ascii="Arial" w:eastAsia="Arial" w:hAnsi="Arial" w:cs="Arial"/>
          <w:b/>
          <w:smallCaps/>
          <w:sz w:val="24"/>
          <w:szCs w:val="24"/>
        </w:rPr>
      </w:pPr>
    </w:p>
    <w:p w:rsidR="004415A7" w:rsidRDefault="006F015D">
      <w:pPr>
        <w:jc w:val="both"/>
        <w:rPr>
          <w:rFonts w:ascii="Arial" w:eastAsia="Arial" w:hAnsi="Arial" w:cs="Arial"/>
          <w:sz w:val="24"/>
          <w:szCs w:val="24"/>
        </w:rPr>
      </w:pPr>
      <w:r>
        <w:rPr>
          <w:rFonts w:ascii="Arial" w:eastAsia="Arial" w:hAnsi="Arial" w:cs="Arial"/>
          <w:sz w:val="24"/>
          <w:szCs w:val="24"/>
        </w:rPr>
        <w:t>This Framework Award Form creates the Framework Contract for</w:t>
      </w:r>
      <w:r>
        <w:rPr>
          <w:rFonts w:ascii="Arial" w:eastAsia="Arial" w:hAnsi="Arial" w:cs="Arial"/>
          <w:b/>
          <w:sz w:val="24"/>
          <w:szCs w:val="24"/>
        </w:rPr>
        <w:t xml:space="preserve"> RM6283 - Front Office Counter Services 2</w:t>
      </w:r>
      <w:r>
        <w:rPr>
          <w:rFonts w:ascii="Arial" w:eastAsia="Arial" w:hAnsi="Arial" w:cs="Arial"/>
          <w:sz w:val="24"/>
          <w:szCs w:val="24"/>
        </w:rPr>
        <w:t>. It summarises the main features of the procurement and includes CCS and the Supplier’s contact details.</w:t>
      </w:r>
    </w:p>
    <w:tbl>
      <w:tblPr>
        <w:tblStyle w:val="a5"/>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525"/>
        <w:gridCol w:w="2355"/>
        <w:gridCol w:w="7650"/>
      </w:tblGrid>
      <w:tr w:rsidR="004415A7" w:rsidTr="004415A7">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spacing w:after="0"/>
              <w:jc w:val="both"/>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4415A7" w:rsidRDefault="004415A7">
            <w:pPr>
              <w:spacing w:after="0"/>
              <w:jc w:val="both"/>
              <w:rPr>
                <w:rFonts w:ascii="Arial" w:eastAsia="Arial" w:hAnsi="Arial" w:cs="Arial"/>
                <w:color w:val="000000"/>
                <w:sz w:val="24"/>
                <w:szCs w:val="24"/>
              </w:rPr>
            </w:pPr>
          </w:p>
          <w:p w:rsidR="004415A7" w:rsidRDefault="006F015D">
            <w:pPr>
              <w:spacing w:after="0"/>
              <w:jc w:val="both"/>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p w:rsidR="004415A7" w:rsidRDefault="004415A7">
            <w:pPr>
              <w:spacing w:after="0"/>
              <w:jc w:val="both"/>
              <w:rPr>
                <w:rFonts w:ascii="Arial" w:eastAsia="Arial" w:hAnsi="Arial" w:cs="Arial"/>
                <w:b/>
                <w:color w:val="000000"/>
                <w:sz w:val="24"/>
                <w:szCs w:val="24"/>
                <w:highlight w:val="yellow"/>
              </w:rPr>
            </w:pPr>
          </w:p>
        </w:tc>
      </w:tr>
      <w:tr w:rsidR="004415A7" w:rsidTr="004415A7">
        <w:trPr>
          <w:trHeight w:val="976"/>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4415A7">
            <w:pPr>
              <w:widowControl w:val="0"/>
              <w:pBdr>
                <w:top w:val="nil"/>
                <w:left w:val="nil"/>
                <w:bottom w:val="nil"/>
                <w:right w:val="nil"/>
                <w:between w:val="nil"/>
              </w:pBdr>
              <w:spacing w:after="0"/>
              <w:jc w:val="both"/>
              <w:rPr>
                <w:rFonts w:ascii="Arial" w:eastAsia="Arial" w:hAnsi="Arial" w:cs="Arial"/>
                <w:b/>
                <w:color w:val="000000"/>
                <w:sz w:val="24"/>
                <w:szCs w:val="24"/>
              </w:rPr>
            </w:pPr>
          </w:p>
          <w:tbl>
            <w:tblPr>
              <w:tblStyle w:val="a6"/>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4415A7">
              <w:tc>
                <w:tcPr>
                  <w:tcW w:w="2296" w:type="dxa"/>
                  <w:shd w:val="clear" w:color="auto" w:fill="auto"/>
                </w:tcPr>
                <w:p w:rsidR="004415A7" w:rsidRDefault="006F015D">
                  <w:pPr>
                    <w:spacing w:after="0"/>
                    <w:ind w:left="-75"/>
                    <w:jc w:val="both"/>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rsidR="004415A7" w:rsidRDefault="006F015D">
                  <w:pPr>
                    <w:spacing w:after="0"/>
                    <w:jc w:val="both"/>
                    <w:rPr>
                      <w:rFonts w:ascii="Arial" w:eastAsia="Arial" w:hAnsi="Arial" w:cs="Arial"/>
                      <w:color w:val="000000"/>
                      <w:sz w:val="24"/>
                      <w:szCs w:val="24"/>
                      <w:highlight w:val="yellow"/>
                    </w:rPr>
                  </w:pPr>
                  <w:r>
                    <w:rPr>
                      <w:rFonts w:ascii="Arial" w:eastAsia="Arial" w:hAnsi="Arial" w:cs="Arial"/>
                      <w:b/>
                      <w:color w:val="000000"/>
                      <w:sz w:val="24"/>
                      <w:szCs w:val="24"/>
                      <w:highlight w:val="yellow"/>
                    </w:rPr>
                    <w:t xml:space="preserve">[Insert </w:t>
                  </w:r>
                  <w:r>
                    <w:rPr>
                      <w:rFonts w:ascii="Arial" w:eastAsia="Arial" w:hAnsi="Arial" w:cs="Arial"/>
                      <w:color w:val="000000"/>
                      <w:sz w:val="24"/>
                      <w:szCs w:val="24"/>
                    </w:rPr>
                    <w:t>name (registered name if registered)]</w:t>
                  </w:r>
                </w:p>
              </w:tc>
            </w:tr>
            <w:tr w:rsidR="004415A7">
              <w:tc>
                <w:tcPr>
                  <w:tcW w:w="2296" w:type="dxa"/>
                  <w:shd w:val="clear" w:color="auto" w:fill="auto"/>
                </w:tcPr>
                <w:p w:rsidR="004415A7" w:rsidRDefault="006F015D">
                  <w:pPr>
                    <w:spacing w:after="0"/>
                    <w:ind w:left="-75"/>
                    <w:jc w:val="both"/>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rsidR="004415A7" w:rsidRDefault="006F015D">
                  <w:pPr>
                    <w:spacing w:after="0"/>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Insert </w:t>
                  </w:r>
                  <w:r>
                    <w:rPr>
                      <w:rFonts w:ascii="Arial" w:eastAsia="Arial" w:hAnsi="Arial" w:cs="Arial"/>
                      <w:color w:val="000000"/>
                      <w:sz w:val="24"/>
                      <w:szCs w:val="24"/>
                    </w:rPr>
                    <w:t>address registered address if registered]</w:t>
                  </w:r>
                </w:p>
              </w:tc>
            </w:tr>
            <w:tr w:rsidR="004415A7">
              <w:tc>
                <w:tcPr>
                  <w:tcW w:w="2296" w:type="dxa"/>
                  <w:shd w:val="clear" w:color="auto" w:fill="auto"/>
                </w:tcPr>
                <w:p w:rsidR="004415A7" w:rsidRDefault="006F015D">
                  <w:pPr>
                    <w:spacing w:after="0"/>
                    <w:ind w:left="-75"/>
                    <w:jc w:val="both"/>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rsidR="004415A7" w:rsidRDefault="006F015D">
                  <w:pPr>
                    <w:spacing w:after="0"/>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registration number if registered]</w:t>
                  </w:r>
                </w:p>
              </w:tc>
            </w:tr>
            <w:tr w:rsidR="004415A7">
              <w:tc>
                <w:tcPr>
                  <w:tcW w:w="2296" w:type="dxa"/>
                  <w:shd w:val="clear" w:color="auto" w:fill="auto"/>
                </w:tcPr>
                <w:p w:rsidR="004415A7" w:rsidRDefault="006F015D">
                  <w:pPr>
                    <w:spacing w:after="0"/>
                    <w:ind w:left="-75"/>
                    <w:jc w:val="both"/>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rsidR="004415A7" w:rsidRDefault="006F015D">
                  <w:pPr>
                    <w:spacing w:after="0"/>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SID4GOV ID if you have on</w:t>
                  </w:r>
                  <w:r>
                    <w:rPr>
                      <w:rFonts w:ascii="Arial" w:eastAsia="Arial" w:hAnsi="Arial" w:cs="Arial"/>
                      <w:color w:val="000000"/>
                      <w:sz w:val="20"/>
                      <w:szCs w:val="20"/>
                    </w:rPr>
                    <w:t>e]</w:t>
                  </w:r>
                </w:p>
              </w:tc>
            </w:tr>
            <w:tr w:rsidR="004415A7">
              <w:tc>
                <w:tcPr>
                  <w:tcW w:w="2296" w:type="dxa"/>
                  <w:shd w:val="clear" w:color="auto" w:fill="auto"/>
                </w:tcPr>
                <w:p w:rsidR="004415A7" w:rsidRDefault="004415A7">
                  <w:pPr>
                    <w:spacing w:after="0"/>
                    <w:ind w:left="-75"/>
                    <w:jc w:val="both"/>
                    <w:rPr>
                      <w:rFonts w:ascii="Arial" w:eastAsia="Arial" w:hAnsi="Arial" w:cs="Arial"/>
                      <w:color w:val="000000"/>
                      <w:sz w:val="24"/>
                      <w:szCs w:val="24"/>
                    </w:rPr>
                  </w:pPr>
                </w:p>
              </w:tc>
              <w:tc>
                <w:tcPr>
                  <w:tcW w:w="4991" w:type="dxa"/>
                </w:tcPr>
                <w:p w:rsidR="004415A7" w:rsidRDefault="004415A7">
                  <w:pPr>
                    <w:spacing w:after="0"/>
                    <w:jc w:val="both"/>
                    <w:rPr>
                      <w:rFonts w:ascii="Arial" w:eastAsia="Arial" w:hAnsi="Arial" w:cs="Arial"/>
                      <w:color w:val="000000"/>
                      <w:sz w:val="24"/>
                      <w:szCs w:val="24"/>
                      <w:highlight w:val="yellow"/>
                    </w:rPr>
                  </w:pPr>
                </w:p>
              </w:tc>
            </w:tr>
          </w:tbl>
          <w:p w:rsidR="004415A7" w:rsidRDefault="004415A7">
            <w:pPr>
              <w:spacing w:after="0"/>
              <w:jc w:val="both"/>
              <w:rPr>
                <w:rFonts w:ascii="Arial" w:eastAsia="Arial" w:hAnsi="Arial" w:cs="Arial"/>
                <w:color w:val="000000"/>
                <w:sz w:val="24"/>
                <w:szCs w:val="24"/>
              </w:rPr>
            </w:pPr>
          </w:p>
        </w:tc>
      </w:tr>
      <w:tr w:rsidR="004415A7" w:rsidTr="004415A7">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4"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     Framework Contract</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w:t>
            </w:r>
          </w:p>
          <w:p w:rsidR="004415A7" w:rsidRDefault="006F015D">
            <w:p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r>
              <w:rPr>
                <w:rFonts w:ascii="Arial" w:eastAsia="Arial" w:hAnsi="Arial" w:cs="Arial"/>
                <w:color w:val="000000"/>
                <w:sz w:val="24"/>
                <w:szCs w:val="24"/>
              </w:rPr>
              <w:t>Supplier to be considered for Call-off Contracts to supply the Deliverables</w:t>
            </w:r>
          </w:p>
          <w:p w:rsidR="004415A7" w:rsidRDefault="006F015D">
            <w:p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r>
              <w:rPr>
                <w:rFonts w:ascii="Arial" w:eastAsia="Arial" w:hAnsi="Arial" w:cs="Arial"/>
                <w:color w:val="000000"/>
                <w:sz w:val="24"/>
                <w:szCs w:val="24"/>
              </w:rPr>
              <w:t xml:space="preserve">in Lot 1. </w:t>
            </w:r>
          </w:p>
          <w:p w:rsidR="004415A7" w:rsidRDefault="004415A7">
            <w:p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bookmarkStart w:id="5" w:name="_heading=h.5civp7tenuei" w:colFirst="0" w:colLast="0"/>
            <w:bookmarkEnd w:id="5"/>
          </w:p>
          <w:p w:rsidR="004415A7" w:rsidRDefault="006F015D">
            <w:p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bookmarkStart w:id="6" w:name="_heading=h.gjdgxs" w:colFirst="0" w:colLast="0"/>
            <w:bookmarkEnd w:id="6"/>
            <w:r>
              <w:rPr>
                <w:rFonts w:ascii="Arial" w:eastAsia="Arial" w:hAnsi="Arial" w:cs="Arial"/>
                <w:color w:val="000000"/>
                <w:sz w:val="24"/>
                <w:szCs w:val="24"/>
              </w:rPr>
              <w:t>This opportunity is advertised in the Contract Notice in the Find a Tender</w:t>
            </w:r>
          </w:p>
          <w:p w:rsidR="004415A7" w:rsidRDefault="006F015D">
            <w:p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bookmarkStart w:id="7" w:name="_heading=h.1zcy5tp464fd" w:colFirst="0" w:colLast="0"/>
            <w:bookmarkEnd w:id="7"/>
            <w:r>
              <w:rPr>
                <w:rFonts w:ascii="Arial" w:eastAsia="Arial" w:hAnsi="Arial" w:cs="Arial"/>
                <w:color w:val="000000"/>
                <w:sz w:val="24"/>
                <w:szCs w:val="24"/>
              </w:rPr>
              <w:t xml:space="preserve">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rsidR="004415A7" w:rsidRDefault="004415A7">
            <w:pPr>
              <w:pBdr>
                <w:top w:val="nil"/>
                <w:left w:val="nil"/>
                <w:bottom w:val="nil"/>
                <w:right w:val="nil"/>
                <w:between w:val="nil"/>
              </w:pBdr>
              <w:spacing w:after="0" w:line="240" w:lineRule="auto"/>
              <w:ind w:left="360" w:hanging="360"/>
              <w:jc w:val="both"/>
              <w:rPr>
                <w:rFonts w:ascii="Arial" w:eastAsia="Arial" w:hAnsi="Arial" w:cs="Arial"/>
                <w:color w:val="000000"/>
                <w:sz w:val="24"/>
                <w:szCs w:val="24"/>
                <w:highlight w:val="yellow"/>
              </w:rPr>
            </w:pPr>
          </w:p>
        </w:tc>
      </w:tr>
      <w:tr w:rsidR="004415A7" w:rsidTr="004415A7">
        <w:trPr>
          <w:trHeight w:val="327"/>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keepNext/>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spacing w:after="0"/>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delivery of the requirements set out in Framework Schedule 1 (Specification), which is summary require the Supplier to:</w:t>
            </w:r>
          </w:p>
          <w:p w:rsidR="004415A7" w:rsidRDefault="006F015D">
            <w:pPr>
              <w:spacing w:after="0"/>
              <w:ind w:left="720" w:hanging="360"/>
              <w:jc w:val="both"/>
              <w:rPr>
                <w:rFonts w:ascii="Arial" w:eastAsia="Arial" w:hAnsi="Arial" w:cs="Arial"/>
                <w:color w:val="000000"/>
                <w:sz w:val="24"/>
                <w:szCs w:val="24"/>
              </w:rPr>
            </w:pPr>
            <w:r>
              <w:rPr>
                <w:rFonts w:ascii="Arial" w:eastAsia="Arial" w:hAnsi="Arial" w:cs="Arial"/>
                <w:color w:val="000000"/>
                <w:sz w:val="24"/>
                <w:szCs w:val="24"/>
              </w:rPr>
              <w:t xml:space="preserve"> </w:t>
            </w:r>
          </w:p>
          <w:p w:rsidR="004415A7" w:rsidRDefault="006F015D">
            <w:pPr>
              <w:spacing w:after="240"/>
              <w:jc w:val="both"/>
              <w:rPr>
                <w:rFonts w:ascii="Arial" w:eastAsia="Arial" w:hAnsi="Arial" w:cs="Arial"/>
                <w:color w:val="000000"/>
                <w:sz w:val="24"/>
                <w:szCs w:val="24"/>
              </w:rPr>
            </w:pPr>
            <w:r>
              <w:rPr>
                <w:rFonts w:ascii="Arial" w:eastAsia="Arial" w:hAnsi="Arial" w:cs="Arial"/>
                <w:color w:val="000000"/>
                <w:sz w:val="24"/>
                <w:szCs w:val="24"/>
              </w:rPr>
              <w:t>Maintain a network of physical outlets to support the delivery of:</w:t>
            </w:r>
          </w:p>
          <w:p w:rsidR="004415A7" w:rsidRDefault="006F015D">
            <w:pPr>
              <w:numPr>
                <w:ilvl w:val="1"/>
                <w:numId w:val="5"/>
              </w:numPr>
              <w:spacing w:after="0"/>
              <w:jc w:val="both"/>
              <w:rPr>
                <w:rFonts w:ascii="Arial" w:eastAsia="Arial" w:hAnsi="Arial" w:cs="Arial"/>
                <w:color w:val="000000"/>
                <w:sz w:val="24"/>
                <w:szCs w:val="24"/>
              </w:rPr>
            </w:pPr>
            <w:r>
              <w:rPr>
                <w:rFonts w:ascii="Arial" w:eastAsia="Arial" w:hAnsi="Arial" w:cs="Arial"/>
                <w:color w:val="000000"/>
                <w:sz w:val="24"/>
                <w:szCs w:val="24"/>
              </w:rPr>
              <w:t>Check and Send Services</w:t>
            </w:r>
          </w:p>
          <w:p w:rsidR="004415A7" w:rsidRDefault="006F015D">
            <w:pPr>
              <w:numPr>
                <w:ilvl w:val="1"/>
                <w:numId w:val="5"/>
              </w:numPr>
              <w:spacing w:after="0"/>
              <w:jc w:val="both"/>
              <w:rPr>
                <w:rFonts w:ascii="Arial" w:eastAsia="Arial" w:hAnsi="Arial" w:cs="Arial"/>
                <w:color w:val="000000"/>
                <w:sz w:val="24"/>
                <w:szCs w:val="24"/>
              </w:rPr>
            </w:pPr>
            <w:r>
              <w:rPr>
                <w:rFonts w:ascii="Arial" w:eastAsia="Arial" w:hAnsi="Arial" w:cs="Arial"/>
                <w:color w:val="000000"/>
                <w:sz w:val="24"/>
                <w:szCs w:val="24"/>
              </w:rPr>
              <w:t>Identity Verification Services</w:t>
            </w:r>
          </w:p>
          <w:p w:rsidR="004415A7" w:rsidRDefault="006F015D">
            <w:pPr>
              <w:numPr>
                <w:ilvl w:val="1"/>
                <w:numId w:val="5"/>
              </w:numPr>
              <w:spacing w:after="240"/>
              <w:jc w:val="both"/>
              <w:rPr>
                <w:rFonts w:ascii="Arial" w:eastAsia="Arial" w:hAnsi="Arial" w:cs="Arial"/>
                <w:color w:val="000000"/>
                <w:sz w:val="24"/>
                <w:szCs w:val="24"/>
              </w:rPr>
            </w:pPr>
            <w:r>
              <w:rPr>
                <w:rFonts w:ascii="Arial" w:eastAsia="Arial" w:hAnsi="Arial" w:cs="Arial"/>
                <w:color w:val="000000"/>
                <w:sz w:val="24"/>
                <w:szCs w:val="24"/>
              </w:rPr>
              <w:t>Issuing Service</w:t>
            </w:r>
          </w:p>
          <w:p w:rsidR="004415A7" w:rsidRDefault="006F015D">
            <w:p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4415A7" w:rsidRDefault="004415A7">
            <w:p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p>
        </w:tc>
      </w:tr>
      <w:tr w:rsidR="004415A7" w:rsidTr="004415A7">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4415A7" w:rsidRDefault="004415A7">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spacing w:after="0"/>
              <w:ind w:right="936"/>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Day Month Year]</w:t>
            </w:r>
          </w:p>
        </w:tc>
      </w:tr>
      <w:tr w:rsidR="004415A7" w:rsidTr="004415A7">
        <w:trPr>
          <w:trHeight w:val="60"/>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rsidR="004415A7" w:rsidRDefault="004415A7">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spacing w:after="0"/>
              <w:ind w:right="936"/>
              <w:jc w:val="both"/>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Day Month Year]</w:t>
            </w:r>
          </w:p>
        </w:tc>
      </w:tr>
      <w:tr w:rsidR="004415A7" w:rsidTr="004415A7">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spacing w:after="0"/>
              <w:ind w:right="936"/>
              <w:jc w:val="both"/>
              <w:rPr>
                <w:rFonts w:ascii="Arial" w:eastAsia="Arial" w:hAnsi="Arial" w:cs="Arial"/>
                <w:color w:val="000000"/>
                <w:sz w:val="24"/>
                <w:szCs w:val="24"/>
              </w:rPr>
            </w:pPr>
            <w:r>
              <w:rPr>
                <w:rFonts w:ascii="Arial" w:eastAsia="Arial" w:hAnsi="Arial" w:cs="Arial"/>
                <w:color w:val="000000"/>
                <w:sz w:val="24"/>
                <w:szCs w:val="24"/>
              </w:rPr>
              <w:t xml:space="preserve">This agreement has an optional extension of 12 months, which is agreed, would extend the agreement up to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Insert </w:t>
            </w:r>
            <w:r>
              <w:rPr>
                <w:rFonts w:ascii="Arial" w:eastAsia="Arial" w:hAnsi="Arial" w:cs="Arial"/>
                <w:color w:val="000000"/>
                <w:sz w:val="24"/>
                <w:szCs w:val="24"/>
              </w:rPr>
              <w:t>Day Month Year]</w:t>
            </w:r>
          </w:p>
        </w:tc>
      </w:tr>
      <w:tr w:rsidR="004415A7" w:rsidTr="004415A7">
        <w:trPr>
          <w:trHeight w:val="837"/>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4415A7">
            <w:pPr>
              <w:spacing w:after="0"/>
              <w:ind w:right="936"/>
              <w:jc w:val="both"/>
              <w:rPr>
                <w:rFonts w:ascii="Arial" w:eastAsia="Arial" w:hAnsi="Arial" w:cs="Arial"/>
                <w:color w:val="000000"/>
                <w:sz w:val="24"/>
                <w:szCs w:val="24"/>
              </w:rPr>
            </w:pPr>
          </w:p>
          <w:p w:rsidR="004415A7" w:rsidRDefault="006F015D">
            <w:pPr>
              <w:numPr>
                <w:ilvl w:val="0"/>
                <w:numId w:val="2"/>
              </w:numPr>
              <w:pBdr>
                <w:top w:val="nil"/>
                <w:left w:val="nil"/>
                <w:bottom w:val="nil"/>
                <w:right w:val="nil"/>
                <w:between w:val="nil"/>
              </w:pBdr>
              <w:spacing w:after="0"/>
              <w:ind w:right="936"/>
              <w:jc w:val="both"/>
              <w:rPr>
                <w:rFonts w:ascii="Arial" w:eastAsia="Arial" w:hAnsi="Arial" w:cs="Arial"/>
                <w:color w:val="000000"/>
                <w:sz w:val="24"/>
                <w:szCs w:val="24"/>
              </w:rPr>
            </w:pPr>
            <w:r>
              <w:rPr>
                <w:rFonts w:ascii="Arial" w:eastAsia="Arial" w:hAnsi="Arial" w:cs="Arial"/>
                <w:color w:val="000000"/>
                <w:sz w:val="24"/>
                <w:szCs w:val="24"/>
              </w:rPr>
              <w:t>direct award without dialogue</w:t>
            </w:r>
          </w:p>
          <w:p w:rsidR="004415A7" w:rsidRDefault="006F015D">
            <w:pPr>
              <w:numPr>
                <w:ilvl w:val="0"/>
                <w:numId w:val="2"/>
              </w:numPr>
              <w:pBdr>
                <w:top w:val="nil"/>
                <w:left w:val="nil"/>
                <w:bottom w:val="nil"/>
                <w:right w:val="nil"/>
                <w:between w:val="nil"/>
              </w:pBdr>
              <w:spacing w:after="0"/>
              <w:ind w:right="936"/>
              <w:jc w:val="both"/>
              <w:rPr>
                <w:rFonts w:ascii="Arial" w:eastAsia="Arial" w:hAnsi="Arial" w:cs="Arial"/>
                <w:color w:val="000000"/>
                <w:sz w:val="24"/>
                <w:szCs w:val="24"/>
              </w:rPr>
            </w:pPr>
            <w:r>
              <w:rPr>
                <w:rFonts w:ascii="Arial" w:eastAsia="Arial" w:hAnsi="Arial" w:cs="Arial"/>
                <w:color w:val="000000"/>
                <w:sz w:val="24"/>
                <w:szCs w:val="24"/>
              </w:rPr>
              <w:t>direct award with dialogue</w:t>
            </w:r>
          </w:p>
          <w:p w:rsidR="004415A7" w:rsidRDefault="004415A7">
            <w:pPr>
              <w:spacing w:after="0"/>
              <w:ind w:right="936"/>
              <w:jc w:val="both"/>
              <w:rPr>
                <w:rFonts w:ascii="Arial" w:eastAsia="Arial" w:hAnsi="Arial" w:cs="Arial"/>
                <w:color w:val="000000"/>
                <w:sz w:val="24"/>
                <w:szCs w:val="24"/>
                <w:highlight w:val="yellow"/>
              </w:rPr>
            </w:pPr>
          </w:p>
          <w:p w:rsidR="004415A7" w:rsidRDefault="006F015D">
            <w:pPr>
              <w:spacing w:after="0"/>
              <w:ind w:right="936"/>
              <w:jc w:val="both"/>
              <w:rPr>
                <w:rFonts w:ascii="Arial" w:eastAsia="Arial" w:hAnsi="Arial" w:cs="Arial"/>
                <w:color w:val="000000"/>
                <w:sz w:val="24"/>
                <w:szCs w:val="24"/>
              </w:rPr>
            </w:pPr>
            <w:r>
              <w:rPr>
                <w:rFonts w:ascii="Arial" w:eastAsia="Arial" w:hAnsi="Arial" w:cs="Arial"/>
                <w:color w:val="000000"/>
                <w:sz w:val="24"/>
                <w:szCs w:val="24"/>
              </w:rPr>
              <w:t>See Framework Schedule 7 (Call-Off Award Procedure)</w:t>
            </w:r>
          </w:p>
          <w:p w:rsidR="004415A7" w:rsidRDefault="004415A7">
            <w:pPr>
              <w:spacing w:after="0"/>
              <w:ind w:right="936"/>
              <w:jc w:val="both"/>
              <w:rPr>
                <w:rFonts w:ascii="Arial" w:eastAsia="Arial" w:hAnsi="Arial" w:cs="Arial"/>
                <w:color w:val="000000"/>
                <w:sz w:val="24"/>
                <w:szCs w:val="24"/>
              </w:rPr>
            </w:pPr>
          </w:p>
        </w:tc>
      </w:tr>
      <w:tr w:rsidR="004415A7" w:rsidTr="004415A7">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6F015D">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4415A7" w:rsidRDefault="004415A7">
            <w:pPr>
              <w:spacing w:after="0"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spacing w:after="0"/>
              <w:jc w:val="both"/>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rsidR="004415A7" w:rsidRDefault="004415A7">
            <w:pPr>
              <w:spacing w:after="0"/>
              <w:jc w:val="both"/>
              <w:rPr>
                <w:rFonts w:ascii="Arial" w:eastAsia="Arial" w:hAnsi="Arial" w:cs="Arial"/>
                <w:color w:val="000000"/>
                <w:sz w:val="24"/>
                <w:szCs w:val="24"/>
              </w:rPr>
            </w:pPr>
          </w:p>
          <w:p w:rsidR="004415A7" w:rsidRDefault="006F015D">
            <w:pPr>
              <w:numPr>
                <w:ilvl w:val="0"/>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This Framework Award Form</w:t>
            </w:r>
          </w:p>
          <w:p w:rsidR="004415A7" w:rsidRDefault="006F015D">
            <w:pPr>
              <w:numPr>
                <w:ilvl w:val="0"/>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Any Framework Special Terms (</w:t>
            </w:r>
            <w:r>
              <w:rPr>
                <w:rFonts w:ascii="Arial" w:eastAsia="Arial" w:hAnsi="Arial" w:cs="Arial"/>
                <w:color w:val="000000"/>
                <w:sz w:val="24"/>
                <w:szCs w:val="24"/>
              </w:rPr>
              <w:t>see Section 10 ‘Framework Special Terms’ in this Framework Award Form)</w:t>
            </w:r>
          </w:p>
          <w:p w:rsidR="004415A7" w:rsidRDefault="006F015D">
            <w:pPr>
              <w:numPr>
                <w:ilvl w:val="0"/>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Joint Schedule 1 (Definitions) </w:t>
            </w:r>
          </w:p>
          <w:p w:rsidR="004415A7" w:rsidRDefault="006F015D">
            <w:pPr>
              <w:numPr>
                <w:ilvl w:val="0"/>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 11 (Processing Data)</w:t>
            </w:r>
          </w:p>
          <w:p w:rsidR="004415A7" w:rsidRDefault="006F015D">
            <w:pPr>
              <w:numPr>
                <w:ilvl w:val="0"/>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The following Schedules for </w:t>
            </w:r>
            <w:r>
              <w:rPr>
                <w:rFonts w:ascii="Arial" w:eastAsia="Arial" w:hAnsi="Arial" w:cs="Arial"/>
                <w:color w:val="000000"/>
                <w:sz w:val="24"/>
                <w:szCs w:val="24"/>
                <w:highlight w:val="yellow"/>
              </w:rPr>
              <w:t xml:space="preserve">RM6283 </w:t>
            </w:r>
            <w:r>
              <w:rPr>
                <w:rFonts w:ascii="Arial" w:eastAsia="Arial" w:hAnsi="Arial" w:cs="Arial"/>
                <w:color w:val="000000"/>
                <w:sz w:val="24"/>
                <w:szCs w:val="24"/>
              </w:rPr>
              <w:t>(in equal order of precedence):</w:t>
            </w:r>
          </w:p>
          <w:p w:rsidR="004415A7" w:rsidRDefault="006F015D">
            <w:pPr>
              <w:numPr>
                <w:ilvl w:val="1"/>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4415A7" w:rsidRDefault="006F015D">
            <w:pPr>
              <w:numPr>
                <w:ilvl w:val="1"/>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4415A7" w:rsidRDefault="006F015D">
            <w:pPr>
              <w:numPr>
                <w:ilvl w:val="1"/>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4415A7" w:rsidRDefault="006F015D">
            <w:pPr>
              <w:numPr>
                <w:ilvl w:val="1"/>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4415A7" w:rsidRDefault="006F015D">
            <w:pPr>
              <w:numPr>
                <w:ilvl w:val="1"/>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Framework Schedule 6 (Order Form Template and Call-Off Schedules) including the following template Call-Off Schedules: </w:t>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w:t>
            </w:r>
            <w:r>
              <w:rPr>
                <w:rFonts w:ascii="Arial" w:eastAsia="Arial" w:hAnsi="Arial" w:cs="Arial"/>
                <w:color w:val="000000"/>
                <w:sz w:val="24"/>
                <w:szCs w:val="24"/>
                <w:highlight w:val="yellow"/>
              </w:rPr>
              <w:t>hedule 4 (Call-Off Tender)</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5 </w:t>
            </w:r>
            <w:r>
              <w:rPr>
                <w:rFonts w:ascii="Arial" w:eastAsia="Arial" w:hAnsi="Arial" w:cs="Arial"/>
                <w:i/>
                <w:color w:val="000000"/>
                <w:sz w:val="24"/>
                <w:szCs w:val="24"/>
                <w:highlight w:val="yellow"/>
              </w:rPr>
              <w:t>(</w:t>
            </w:r>
            <w:r>
              <w:rPr>
                <w:rFonts w:ascii="Arial" w:eastAsia="Arial" w:hAnsi="Arial" w:cs="Arial"/>
                <w:color w:val="000000"/>
                <w:sz w:val="24"/>
                <w:szCs w:val="24"/>
                <w:highlight w:val="yellow"/>
              </w:rPr>
              <w:t>Pricing Details)</w:t>
            </w:r>
            <w:r>
              <w:rPr>
                <w:rFonts w:ascii="Arial" w:eastAsia="Arial" w:hAnsi="Arial" w:cs="Arial"/>
                <w:color w:val="000000"/>
                <w:sz w:val="24"/>
                <w:szCs w:val="24"/>
                <w:highlight w:val="yellow"/>
              </w:rPr>
              <w:tab/>
              <w:t xml:space="preserve">           </w:t>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8 (Business Continuity and Disaster Recovery) </w:t>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10 (Exit Management) </w:t>
            </w:r>
            <w:r>
              <w:rPr>
                <w:rFonts w:ascii="Arial" w:eastAsia="Arial" w:hAnsi="Arial" w:cs="Arial"/>
                <w:color w:val="000000"/>
                <w:sz w:val="24"/>
                <w:szCs w:val="24"/>
                <w:highlight w:val="yellow"/>
              </w:rPr>
              <w:tab/>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13 (Implementation Plan and Testing)</w:t>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4415A7" w:rsidRDefault="006F015D">
            <w:pPr>
              <w:numPr>
                <w:ilvl w:val="2"/>
                <w:numId w:val="6"/>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15 (Call-Off Contract Management)</w:t>
            </w:r>
          </w:p>
          <w:p w:rsidR="004415A7" w:rsidRDefault="006F015D">
            <w:pPr>
              <w:numPr>
                <w:ilvl w:val="2"/>
                <w:numId w:val="6"/>
              </w:numPr>
              <w:pBdr>
                <w:top w:val="nil"/>
                <w:left w:val="nil"/>
                <w:bottom w:val="nil"/>
                <w:right w:val="nil"/>
                <w:between w:val="nil"/>
              </w:pBdr>
              <w:shd w:val="clear" w:color="auto" w:fill="FFFF00"/>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4415A7" w:rsidRDefault="006F015D">
            <w:pPr>
              <w:numPr>
                <w:ilvl w:val="2"/>
                <w:numId w:val="6"/>
              </w:numPr>
              <w:pBdr>
                <w:top w:val="nil"/>
                <w:left w:val="nil"/>
                <w:bottom w:val="nil"/>
                <w:right w:val="nil"/>
                <w:between w:val="nil"/>
              </w:pBdr>
              <w:shd w:val="clear" w:color="auto" w:fill="FFFF00"/>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415A7" w:rsidRDefault="006F015D">
            <w:pPr>
              <w:numPr>
                <w:ilvl w:val="2"/>
                <w:numId w:val="6"/>
              </w:numPr>
              <w:pBdr>
                <w:top w:val="nil"/>
                <w:left w:val="nil"/>
                <w:bottom w:val="nil"/>
                <w:right w:val="nil"/>
                <w:between w:val="nil"/>
              </w:pBdr>
              <w:shd w:val="clear" w:color="auto" w:fill="FFFF00"/>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p>
          <w:p w:rsidR="004415A7" w:rsidRDefault="006F015D">
            <w:pPr>
              <w:numPr>
                <w:ilvl w:val="2"/>
                <w:numId w:val="6"/>
              </w:numPr>
              <w:pBdr>
                <w:top w:val="nil"/>
                <w:left w:val="nil"/>
                <w:bottom w:val="nil"/>
                <w:right w:val="nil"/>
                <w:between w:val="nil"/>
              </w:pBdr>
              <w:shd w:val="clear" w:color="auto" w:fill="FFFF00"/>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415A7" w:rsidRDefault="006F015D">
            <w:pPr>
              <w:numPr>
                <w:ilvl w:val="2"/>
                <w:numId w:val="6"/>
              </w:numPr>
              <w:pBdr>
                <w:top w:val="nil"/>
                <w:left w:val="nil"/>
                <w:bottom w:val="nil"/>
                <w:right w:val="nil"/>
                <w:between w:val="nil"/>
              </w:pBdr>
              <w:shd w:val="clear" w:color="auto" w:fill="FFFF00"/>
              <w:spacing w:after="0" w:line="259" w:lineRule="auto"/>
              <w:jc w:val="both"/>
              <w:rPr>
                <w:rFonts w:ascii="Arial" w:eastAsia="Arial" w:hAnsi="Arial" w:cs="Arial"/>
                <w:color w:val="000000"/>
                <w:sz w:val="24"/>
                <w:szCs w:val="24"/>
              </w:rPr>
            </w:pPr>
            <w:r>
              <w:rPr>
                <w:rFonts w:ascii="Arial" w:eastAsia="Arial" w:hAnsi="Arial" w:cs="Arial"/>
                <w:color w:val="000000"/>
                <w:sz w:val="24"/>
                <w:szCs w:val="24"/>
                <w:highlight w:val="yellow"/>
              </w:rPr>
              <w:t>Call-Off Schedule 20 (Call-</w:t>
            </w:r>
            <w:r>
              <w:rPr>
                <w:rFonts w:ascii="Arial" w:eastAsia="Arial" w:hAnsi="Arial" w:cs="Arial"/>
                <w:color w:val="000000"/>
                <w:sz w:val="24"/>
                <w:szCs w:val="24"/>
                <w:highlight w:val="yellow"/>
              </w:rPr>
              <w:t xml:space="preserve">Off Specification)    </w:t>
            </w:r>
            <w:r>
              <w:rPr>
                <w:rFonts w:ascii="Arial" w:eastAsia="Arial" w:hAnsi="Arial" w:cs="Arial"/>
                <w:color w:val="000000"/>
                <w:sz w:val="24"/>
                <w:szCs w:val="24"/>
              </w:rPr>
              <w:t xml:space="preserve"> </w:t>
            </w:r>
          </w:p>
          <w:p w:rsidR="004415A7" w:rsidRDefault="006F015D">
            <w:pPr>
              <w:numPr>
                <w:ilvl w:val="2"/>
                <w:numId w:val="6"/>
              </w:numPr>
              <w:pBdr>
                <w:top w:val="nil"/>
                <w:left w:val="nil"/>
                <w:bottom w:val="nil"/>
                <w:right w:val="nil"/>
                <w:between w:val="nil"/>
              </w:pBdr>
              <w:shd w:val="clear" w:color="auto" w:fill="FFFF00"/>
              <w:spacing w:after="0" w:line="259" w:lineRule="auto"/>
              <w:jc w:val="both"/>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21 (Northern Ireland Law)    </w:t>
            </w:r>
          </w:p>
          <w:p w:rsidR="004415A7" w:rsidRDefault="006F015D">
            <w:pPr>
              <w:numPr>
                <w:ilvl w:val="2"/>
                <w:numId w:val="6"/>
              </w:numPr>
              <w:pBdr>
                <w:top w:val="nil"/>
                <w:left w:val="nil"/>
                <w:bottom w:val="nil"/>
                <w:right w:val="nil"/>
                <w:between w:val="nil"/>
              </w:pBdr>
              <w:shd w:val="clear" w:color="auto" w:fill="FFFF00"/>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22 (Lease Terms)                </w:t>
            </w:r>
          </w:p>
          <w:p w:rsidR="004415A7" w:rsidRDefault="006F015D">
            <w:pPr>
              <w:numPr>
                <w:ilvl w:val="2"/>
                <w:numId w:val="6"/>
              </w:numPr>
              <w:pBdr>
                <w:top w:val="nil"/>
                <w:left w:val="nil"/>
                <w:bottom w:val="nil"/>
                <w:right w:val="nil"/>
                <w:between w:val="nil"/>
              </w:pBdr>
              <w:shd w:val="clear" w:color="auto" w:fill="FFFF00"/>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23 (HMRC Terms)                </w:t>
            </w:r>
          </w:p>
          <w:p w:rsidR="004415A7" w:rsidRDefault="006F015D">
            <w:pPr>
              <w:numPr>
                <w:ilvl w:val="2"/>
                <w:numId w:val="6"/>
              </w:numPr>
              <w:pBdr>
                <w:top w:val="nil"/>
                <w:left w:val="nil"/>
                <w:bottom w:val="nil"/>
                <w:right w:val="nil"/>
                <w:between w:val="nil"/>
              </w:pBdr>
              <w:shd w:val="clear" w:color="auto" w:fill="FFFF00"/>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24 (Corporate Resolution Planning)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highlight w:val="yellow"/>
              </w:rPr>
              <w:t>Framework Schedule 9 (Cyber Essentials Scheme)</w:t>
            </w:r>
            <w:r>
              <w:rPr>
                <w:rFonts w:ascii="Arial" w:eastAsia="Arial" w:hAnsi="Arial" w:cs="Arial"/>
                <w:color w:val="000000"/>
                <w:sz w:val="24"/>
                <w:szCs w:val="24"/>
              </w:rPr>
              <w:t xml:space="preserve"> </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 2 (Variation Form)</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7 (Financial Difficulties)</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8 (Guarantee)</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highlight w:val="yellow"/>
              </w:rPr>
              <w:t>Joint Schedule 9 (Minimum Standards of Reliability)</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4415A7" w:rsidRDefault="006F015D">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p>
          <w:p w:rsidR="004415A7" w:rsidRDefault="006F015D">
            <w:pPr>
              <w:numPr>
                <w:ilvl w:val="0"/>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CCS Core Terms (version 3.0.11)</w:t>
            </w:r>
          </w:p>
          <w:p w:rsidR="004415A7" w:rsidRDefault="006F015D">
            <w:pPr>
              <w:numPr>
                <w:ilvl w:val="0"/>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highlight w:val="yellow"/>
              </w:rPr>
              <w:t>RM6283</w:t>
            </w:r>
            <w:r>
              <w:rPr>
                <w:rFonts w:ascii="Arial" w:eastAsia="Arial" w:hAnsi="Arial" w:cs="Arial"/>
                <w:color w:val="000000"/>
                <w:sz w:val="24"/>
                <w:szCs w:val="24"/>
                <w:highlight w:val="yellow"/>
              </w:rPr>
              <w:t xml:space="preserve"> </w:t>
            </w:r>
          </w:p>
          <w:p w:rsidR="004415A7" w:rsidRDefault="006F015D">
            <w:pPr>
              <w:numPr>
                <w:ilvl w:val="0"/>
                <w:numId w:val="6"/>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Framework Schedule 2 (Framework Tender) </w:t>
            </w:r>
            <w:r>
              <w:rPr>
                <w:rFonts w:ascii="Arial" w:eastAsia="Arial" w:hAnsi="Arial" w:cs="Arial"/>
                <w:b/>
                <w:color w:val="000000"/>
                <w:sz w:val="24"/>
                <w:szCs w:val="24"/>
                <w:highlight w:val="yellow"/>
              </w:rPr>
              <w:t>RM6283</w:t>
            </w:r>
            <w:r>
              <w:rPr>
                <w:rFonts w:ascii="Arial" w:eastAsia="Arial" w:hAnsi="Arial" w:cs="Arial"/>
                <w:color w:val="000000"/>
                <w:sz w:val="24"/>
                <w:szCs w:val="24"/>
              </w:rPr>
              <w:t xml:space="preserve"> as long as any part of the Framework Tender that offers a better commercia</w:t>
            </w:r>
            <w:r>
              <w:rPr>
                <w:rFonts w:ascii="Arial" w:eastAsia="Arial" w:hAnsi="Arial" w:cs="Arial"/>
                <w:color w:val="000000"/>
                <w:sz w:val="24"/>
                <w:szCs w:val="24"/>
              </w:rPr>
              <w:t xml:space="preserve">l position for CCS or Buyers (as decided by CCS) take precedence over the documents above </w:t>
            </w:r>
          </w:p>
          <w:p w:rsidR="004415A7" w:rsidRDefault="004415A7">
            <w:p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p>
        </w:tc>
      </w:tr>
      <w:tr w:rsidR="004415A7" w:rsidTr="004415A7">
        <w:trPr>
          <w:trHeight w:val="940"/>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rsidR="004415A7" w:rsidRDefault="004415A7">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rsidR="004415A7" w:rsidRDefault="004415A7">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jc w:val="both"/>
              <w:rPr>
                <w:rFonts w:ascii="Arial" w:eastAsia="Arial" w:hAnsi="Arial" w:cs="Arial"/>
                <w:color w:val="000000"/>
                <w:sz w:val="24"/>
                <w:szCs w:val="24"/>
                <w:highlight w:val="yellow"/>
              </w:rPr>
            </w:pPr>
            <w:r>
              <w:rPr>
                <w:rFonts w:ascii="Arial" w:eastAsia="Arial" w:hAnsi="Arial" w:cs="Arial"/>
                <w:color w:val="000000"/>
                <w:sz w:val="24"/>
                <w:szCs w:val="24"/>
              </w:rPr>
              <w:t>Special Term 1 – New Paragraph 4.12, Core Terms</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“The Parties acknowledge that amendments to these Core Terms, and in particular this Paragraph 4, may be facilitated at Call-Off stage to facilitate the invoicing arrangements between the Supplier and the Buyer, where the Buyer is not responsible for the p</w:t>
            </w:r>
            <w:r>
              <w:rPr>
                <w:rFonts w:ascii="Arial" w:eastAsia="Arial" w:hAnsi="Arial" w:cs="Arial"/>
                <w:color w:val="000000"/>
                <w:sz w:val="24"/>
                <w:szCs w:val="24"/>
              </w:rPr>
              <w:t xml:space="preserve">ayment of the </w:t>
            </w:r>
            <w:r>
              <w:rPr>
                <w:rFonts w:ascii="Arial" w:eastAsia="Arial" w:hAnsi="Arial" w:cs="Arial"/>
                <w:color w:val="000000"/>
                <w:sz w:val="24"/>
                <w:szCs w:val="24"/>
              </w:rPr>
              <w:lastRenderedPageBreak/>
              <w:t>Charges which will be collected by the Supplier through the Citizen accessing the Services”</w:t>
            </w:r>
          </w:p>
        </w:tc>
      </w:tr>
      <w:tr w:rsidR="004415A7" w:rsidTr="004415A7">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Details in Framework Schedule 3 (Framework Prices)</w:t>
            </w:r>
          </w:p>
        </w:tc>
      </w:tr>
      <w:tr w:rsidR="004415A7" w:rsidTr="004415A7">
        <w:trPr>
          <w:trHeight w:val="569"/>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7650" w:type="dxa"/>
            <w:shd w:val="clear" w:color="auto" w:fill="auto"/>
          </w:tcPr>
          <w:p w:rsidR="004415A7" w:rsidRDefault="006F015D">
            <w:pPr>
              <w:pBdr>
                <w:top w:val="nil"/>
                <w:left w:val="nil"/>
                <w:bottom w:val="nil"/>
                <w:right w:val="nil"/>
                <w:between w:val="nil"/>
              </w:pBdr>
              <w:spacing w:after="0" w:line="240" w:lineRule="auto"/>
              <w:ind w:left="360" w:hanging="360"/>
              <w:jc w:val="both"/>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4415A7" w:rsidTr="004415A7">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Cyber Essentials Scheme [Basic / Plus] Certificate (or equivalent). Details in Framework Schedule F9 (Cyber Essentials Scheme)</w:t>
            </w:r>
          </w:p>
        </w:tc>
      </w:tr>
      <w:tr w:rsidR="004415A7" w:rsidTr="004415A7">
        <w:trPr>
          <w:trHeight w:val="731"/>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 xml:space="preserve">The Management Charge will apply as follows: </w:t>
            </w:r>
          </w:p>
          <w:p w:rsidR="004415A7" w:rsidRDefault="006F015D">
            <w:pPr>
              <w:numPr>
                <w:ilvl w:val="0"/>
                <w:numId w:val="1"/>
              </w:numPr>
              <w:jc w:val="both"/>
              <w:rPr>
                <w:rFonts w:ascii="Arial" w:eastAsia="Arial" w:hAnsi="Arial" w:cs="Arial"/>
                <w:color w:val="000000"/>
                <w:sz w:val="24"/>
                <w:szCs w:val="24"/>
              </w:rPr>
            </w:pPr>
            <w:r>
              <w:rPr>
                <w:rFonts w:ascii="Arial" w:eastAsia="Arial" w:hAnsi="Arial" w:cs="Arial"/>
                <w:b/>
                <w:color w:val="000000"/>
                <w:sz w:val="24"/>
                <w:szCs w:val="24"/>
              </w:rPr>
              <w:t>Where the Buyer is paying for the Deliverables:</w:t>
            </w:r>
            <w:r>
              <w:rPr>
                <w:rFonts w:ascii="Arial" w:eastAsia="Arial" w:hAnsi="Arial" w:cs="Arial"/>
                <w:color w:val="000000"/>
                <w:sz w:val="24"/>
                <w:szCs w:val="24"/>
              </w:rPr>
              <w:t xml:space="preserve"> 1% of all the Charges for the Deliverables provided to the Buyer under all Call-Off Contracts.</w:t>
            </w:r>
          </w:p>
          <w:p w:rsidR="004415A7" w:rsidRDefault="006F015D">
            <w:pPr>
              <w:numPr>
                <w:ilvl w:val="0"/>
                <w:numId w:val="1"/>
              </w:numPr>
              <w:spacing w:before="200" w:after="240"/>
              <w:jc w:val="both"/>
              <w:rPr>
                <w:rFonts w:ascii="Arial" w:eastAsia="Arial" w:hAnsi="Arial" w:cs="Arial"/>
                <w:color w:val="000000"/>
                <w:sz w:val="24"/>
                <w:szCs w:val="24"/>
              </w:rPr>
            </w:pPr>
            <w:r>
              <w:rPr>
                <w:rFonts w:ascii="Arial" w:eastAsia="Arial" w:hAnsi="Arial" w:cs="Arial"/>
                <w:b/>
                <w:color w:val="000000"/>
                <w:sz w:val="24"/>
                <w:szCs w:val="24"/>
              </w:rPr>
              <w:t>Where the Citizen is paying the Supplier directly for the Services:</w:t>
            </w:r>
            <w:r>
              <w:rPr>
                <w:rFonts w:ascii="Arial" w:eastAsia="Arial" w:hAnsi="Arial" w:cs="Arial"/>
                <w:color w:val="000000"/>
                <w:sz w:val="24"/>
                <w:szCs w:val="24"/>
              </w:rPr>
              <w:t xml:space="preserve"> 1% of the income (fees received from the Citi</w:t>
            </w:r>
            <w:r>
              <w:rPr>
                <w:rFonts w:ascii="Arial" w:eastAsia="Arial" w:hAnsi="Arial" w:cs="Arial"/>
                <w:color w:val="000000"/>
                <w:sz w:val="24"/>
                <w:szCs w:val="24"/>
              </w:rPr>
              <w:t xml:space="preserve">zen from accessing the Services) minus any amount which is reimbursed to the Buyer by the Supplier directly from the income received from the Citizen at the time of providing the Deliverables (amounts not connected to the delivery of the Services provided </w:t>
            </w:r>
            <w:r>
              <w:rPr>
                <w:rFonts w:ascii="Arial" w:eastAsia="Arial" w:hAnsi="Arial" w:cs="Arial"/>
                <w:color w:val="000000"/>
                <w:sz w:val="24"/>
                <w:szCs w:val="24"/>
              </w:rPr>
              <w:t xml:space="preserve">by the Supplier) </w:t>
            </w:r>
          </w:p>
        </w:tc>
      </w:tr>
      <w:tr w:rsidR="004415A7" w:rsidTr="004415A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John Devery</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Commercial Lead</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john.devery@crowncommercial.gov.uk</w:t>
            </w:r>
          </w:p>
          <w:p w:rsidR="004415A7" w:rsidRDefault="006F015D">
            <w:pPr>
              <w:jc w:val="both"/>
              <w:rPr>
                <w:rFonts w:ascii="Arial" w:eastAsia="Arial" w:hAnsi="Arial" w:cs="Arial"/>
                <w:color w:val="000000"/>
                <w:sz w:val="24"/>
                <w:szCs w:val="24"/>
              </w:rPr>
            </w:pPr>
            <w:r>
              <w:rPr>
                <w:rFonts w:ascii="Arial" w:eastAsia="Arial" w:hAnsi="Arial" w:cs="Arial"/>
                <w:color w:val="222222"/>
                <w:sz w:val="24"/>
                <w:szCs w:val="24"/>
                <w:highlight w:val="white"/>
              </w:rPr>
              <w:t>07510584873</w:t>
            </w:r>
          </w:p>
        </w:tc>
      </w:tr>
      <w:tr w:rsidR="004415A7" w:rsidTr="004415A7">
        <w:trPr>
          <w:trHeight w:val="1333"/>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4415A7" w:rsidRDefault="006F015D">
            <w:pPr>
              <w:jc w:val="both"/>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4415A7" w:rsidTr="004415A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lastRenderedPageBreak/>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4415A7" w:rsidTr="004415A7">
        <w:trPr>
          <w:trHeight w:val="1333"/>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4415A7" w:rsidTr="004415A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£10,000,000</w:t>
            </w:r>
          </w:p>
        </w:tc>
      </w:tr>
      <w:tr w:rsidR="004415A7" w:rsidTr="004415A7">
        <w:trPr>
          <w:trHeight w:val="1333"/>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4415A7" w:rsidRDefault="006F015D">
            <w:pPr>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4415A7" w:rsidTr="004415A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7650" w:type="dxa"/>
            <w:shd w:val="clear" w:color="auto" w:fill="auto"/>
          </w:tcPr>
          <w:p w:rsidR="004415A7" w:rsidRDefault="006F015D">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Key Subcontractor 1</w:t>
            </w:r>
          </w:p>
          <w:p w:rsidR="004415A7" w:rsidRDefault="006F015D">
            <w:pPr>
              <w:spacing w:before="120" w:after="120"/>
              <w:jc w:val="both"/>
              <w:rPr>
                <w:rFonts w:ascii="Arial" w:eastAsia="Arial" w:hAnsi="Arial" w:cs="Arial"/>
                <w:color w:val="000000"/>
                <w:sz w:val="24"/>
                <w:szCs w:val="24"/>
              </w:rPr>
            </w:pPr>
            <w:r>
              <w:rPr>
                <w:rFonts w:ascii="Arial" w:eastAsia="Arial" w:hAnsi="Arial" w:cs="Arial"/>
                <w:color w:val="000000"/>
                <w:sz w:val="24"/>
                <w:szCs w:val="24"/>
              </w:rPr>
              <w:t>Name (Registered name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4415A7" w:rsidRDefault="006F015D">
            <w:pPr>
              <w:spacing w:before="120" w:after="120"/>
              <w:jc w:val="both"/>
              <w:rPr>
                <w:rFonts w:ascii="Arial" w:eastAsia="Arial" w:hAnsi="Arial" w:cs="Arial"/>
                <w:color w:val="000000"/>
                <w:sz w:val="24"/>
                <w:szCs w:val="24"/>
              </w:rPr>
            </w:pPr>
            <w:r>
              <w:rPr>
                <w:rFonts w:ascii="Arial" w:eastAsia="Arial" w:hAnsi="Arial" w:cs="Arial"/>
                <w:color w:val="000000"/>
                <w:sz w:val="24"/>
                <w:szCs w:val="24"/>
              </w:rPr>
              <w:t>Registration number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number]</w:t>
            </w:r>
          </w:p>
          <w:p w:rsidR="004415A7" w:rsidRDefault="006F015D">
            <w:pPr>
              <w:spacing w:before="120" w:after="120"/>
              <w:jc w:val="both"/>
              <w:rPr>
                <w:rFonts w:ascii="Arial" w:eastAsia="Arial" w:hAnsi="Arial" w:cs="Arial"/>
                <w:color w:val="000000"/>
                <w:sz w:val="24"/>
                <w:szCs w:val="24"/>
              </w:rPr>
            </w:pPr>
            <w:r>
              <w:rPr>
                <w:rFonts w:ascii="Arial" w:eastAsia="Arial" w:hAnsi="Arial" w:cs="Arial"/>
                <w:color w:val="000000"/>
                <w:sz w:val="24"/>
                <w:szCs w:val="24"/>
              </w:rPr>
              <w:t>Role of Subcontractor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role]</w:t>
            </w:r>
          </w:p>
          <w:p w:rsidR="004415A7" w:rsidRDefault="006F015D">
            <w:pPr>
              <w:spacing w:before="120" w:after="120"/>
              <w:jc w:val="both"/>
              <w:rPr>
                <w:rFonts w:ascii="Arial" w:eastAsia="Arial" w:hAnsi="Arial" w:cs="Arial"/>
                <w:color w:val="000000"/>
                <w:sz w:val="24"/>
                <w:szCs w:val="24"/>
                <w:highlight w:val="yellow"/>
              </w:rPr>
            </w:pPr>
            <w:r>
              <w:rPr>
                <w:rFonts w:ascii="Arial" w:eastAsia="Arial" w:hAnsi="Arial" w:cs="Arial"/>
                <w:b/>
                <w:color w:val="000000"/>
                <w:sz w:val="24"/>
                <w:szCs w:val="24"/>
                <w:highlight w:val="yellow"/>
              </w:rPr>
              <w:t>[Guidance:</w:t>
            </w:r>
            <w:r>
              <w:rPr>
                <w:rFonts w:ascii="Arial" w:eastAsia="Arial" w:hAnsi="Arial" w:cs="Arial"/>
                <w:b/>
                <w:color w:val="000000"/>
                <w:sz w:val="24"/>
                <w:szCs w:val="24"/>
              </w:rPr>
              <w:t xml:space="preserve"> </w:t>
            </w:r>
            <w:r>
              <w:rPr>
                <w:rFonts w:ascii="Arial" w:eastAsia="Arial" w:hAnsi="Arial" w:cs="Arial"/>
                <w:color w:val="000000"/>
                <w:sz w:val="24"/>
                <w:szCs w:val="24"/>
              </w:rPr>
              <w:t>copy above lines as needed]</w:t>
            </w:r>
          </w:p>
        </w:tc>
      </w:tr>
      <w:tr w:rsidR="004415A7" w:rsidTr="004415A7">
        <w:trPr>
          <w:trHeight w:val="1333"/>
        </w:trPr>
        <w:tc>
          <w:tcPr>
            <w:cnfStyle w:val="000010000000" w:firstRow="0" w:lastRow="0" w:firstColumn="0" w:lastColumn="0" w:oddVBand="1" w:evenVBand="0" w:oddHBand="0" w:evenHBand="0" w:firstRowFirstColumn="0" w:firstRowLastColumn="0" w:lastRowFirstColumn="0" w:lastRowLastColumn="0"/>
            <w:tcW w:w="525" w:type="dxa"/>
          </w:tcPr>
          <w:p w:rsidR="004415A7" w:rsidRDefault="004415A7">
            <w:pPr>
              <w:numPr>
                <w:ilvl w:val="0"/>
                <w:numId w:val="3"/>
              </w:numPr>
              <w:pBdr>
                <w:top w:val="nil"/>
                <w:left w:val="nil"/>
                <w:bottom w:val="nil"/>
                <w:right w:val="nil"/>
                <w:between w:val="nil"/>
              </w:pBdr>
              <w:spacing w:after="0" w:line="240" w:lineRule="auto"/>
              <w:ind w:left="360" w:hanging="360"/>
              <w:jc w:val="both"/>
              <w:rPr>
                <w:rFonts w:ascii="Arial" w:eastAsia="Arial" w:hAnsi="Arial" w:cs="Arial"/>
                <w:color w:val="000000"/>
                <w:sz w:val="24"/>
                <w:szCs w:val="24"/>
              </w:rPr>
            </w:pPr>
          </w:p>
        </w:tc>
        <w:tc>
          <w:tcPr>
            <w:tcW w:w="2355" w:type="dxa"/>
          </w:tcPr>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4415A7" w:rsidRDefault="006F015D">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650" w:type="dxa"/>
          </w:tcPr>
          <w:p w:rsidR="004415A7" w:rsidRDefault="006F015D">
            <w:pPr>
              <w:jc w:val="both"/>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name]</w:t>
            </w:r>
          </w:p>
          <w:p w:rsidR="004415A7" w:rsidRDefault="006F015D">
            <w:pPr>
              <w:jc w:val="both"/>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4415A7" w:rsidRDefault="006F015D">
            <w:pPr>
              <w:jc w:val="both"/>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4415A7" w:rsidRDefault="006F015D">
            <w:pPr>
              <w:jc w:val="both"/>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bl>
    <w:p w:rsidR="004415A7" w:rsidRDefault="004415A7">
      <w:pPr>
        <w:jc w:val="both"/>
        <w:rPr>
          <w:rFonts w:ascii="Arial" w:eastAsia="Arial" w:hAnsi="Arial" w:cs="Arial"/>
          <w:sz w:val="24"/>
          <w:szCs w:val="24"/>
        </w:rPr>
      </w:pPr>
    </w:p>
    <w:p w:rsidR="004415A7" w:rsidRDefault="004415A7">
      <w:pPr>
        <w:jc w:val="both"/>
        <w:rPr>
          <w:rFonts w:ascii="Arial" w:eastAsia="Arial" w:hAnsi="Arial" w:cs="Arial"/>
          <w:sz w:val="24"/>
          <w:szCs w:val="24"/>
        </w:rPr>
      </w:pPr>
    </w:p>
    <w:tbl>
      <w:tblPr>
        <w:tblStyle w:val="a7"/>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4415A7" w:rsidTr="004415A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4415A7" w:rsidRDefault="006F015D">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4415A7" w:rsidRDefault="006F015D">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4415A7" w:rsidTr="004415A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4415A7" w:rsidRDefault="006F015D">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4415A7" w:rsidRDefault="004415A7">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4415A7" w:rsidRDefault="006F015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4415A7" w:rsidRDefault="004415A7">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415A7" w:rsidTr="004415A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4415A7" w:rsidRDefault="006F015D">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4415A7" w:rsidRDefault="004415A7">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4415A7" w:rsidRDefault="006F015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4415A7" w:rsidRDefault="004415A7">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4415A7" w:rsidTr="004415A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4415A7" w:rsidRDefault="006F015D">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4415A7" w:rsidRDefault="004415A7">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4415A7" w:rsidRDefault="006F015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4415A7" w:rsidRDefault="004415A7">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415A7" w:rsidTr="004415A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4415A7" w:rsidRDefault="006F015D">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4415A7" w:rsidRDefault="004415A7">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4415A7" w:rsidRDefault="006F015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4415A7" w:rsidRDefault="004415A7">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4415A7" w:rsidRDefault="004415A7">
      <w:pPr>
        <w:pBdr>
          <w:top w:val="nil"/>
          <w:left w:val="nil"/>
          <w:bottom w:val="nil"/>
          <w:right w:val="nil"/>
          <w:between w:val="nil"/>
        </w:pBdr>
        <w:ind w:left="792"/>
        <w:jc w:val="both"/>
        <w:rPr>
          <w:rFonts w:ascii="Arial" w:eastAsia="Arial" w:hAnsi="Arial" w:cs="Arial"/>
          <w:i/>
        </w:rPr>
      </w:pPr>
      <w:bookmarkStart w:id="8" w:name="bookmark=id.30j0zll" w:colFirst="0" w:colLast="0"/>
      <w:bookmarkEnd w:id="8"/>
    </w:p>
    <w:sectPr w:rsidR="004415A7">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15D" w:rsidRDefault="006F015D">
      <w:pPr>
        <w:spacing w:after="0" w:line="240" w:lineRule="auto"/>
      </w:pPr>
      <w:r>
        <w:separator/>
      </w:r>
    </w:p>
  </w:endnote>
  <w:endnote w:type="continuationSeparator" w:id="0">
    <w:p w:rsidR="006F015D" w:rsidRDefault="006F0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5A7" w:rsidRDefault="006F015D">
    <w:pPr>
      <w:pBdr>
        <w:top w:val="nil"/>
        <w:left w:val="nil"/>
        <w:bottom w:val="nil"/>
        <w:right w:val="nil"/>
        <w:between w:val="nil"/>
      </w:pBdr>
      <w:tabs>
        <w:tab w:val="center" w:pos="4513"/>
        <w:tab w:val="right" w:pos="9026"/>
      </w:tabs>
      <w:spacing w:after="0" w:line="240" w:lineRule="auto"/>
      <w:rPr>
        <w:rFonts w:ascii="Trebuchet MS" w:eastAsia="Trebuchet MS" w:hAnsi="Trebuchet MS" w:cs="Trebuchet MS"/>
        <w:color w:val="000000"/>
        <w:sz w:val="16"/>
        <w:szCs w:val="16"/>
      </w:rPr>
    </w:pPr>
    <w:bookmarkStart w:id="2" w:name="_heading=h.3znysh7" w:colFirst="0" w:colLast="0"/>
    <w:bookmarkEnd w:id="2"/>
    <w:r>
      <w:rPr>
        <w:rFonts w:ascii="Trebuchet MS" w:eastAsia="Trebuchet MS" w:hAnsi="Trebuchet MS" w:cs="Trebuchet MS"/>
        <w:color w:val="000000"/>
        <w:sz w:val="16"/>
        <w:szCs w:val="16"/>
      </w:rPr>
      <w:t>LEGAL\61749463v1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5A7" w:rsidRDefault="004415A7">
    <w:pPr>
      <w:tabs>
        <w:tab w:val="center" w:pos="4513"/>
        <w:tab w:val="right" w:pos="9026"/>
      </w:tabs>
      <w:spacing w:after="0"/>
      <w:rPr>
        <w:color w:val="A6A6A6"/>
      </w:rPr>
    </w:pPr>
  </w:p>
  <w:p w:rsidR="004415A7" w:rsidRDefault="006F015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RM6283</w:t>
    </w:r>
    <w:r>
      <w:rPr>
        <w:rFonts w:ascii="Arial" w:eastAsia="Arial" w:hAnsi="Arial" w:cs="Arial"/>
        <w:sz w:val="20"/>
        <w:szCs w:val="20"/>
      </w:rPr>
      <w:tab/>
    </w:r>
    <w:r>
      <w:rPr>
        <w:rFonts w:ascii="Arial" w:eastAsia="Arial" w:hAnsi="Arial" w:cs="Arial"/>
        <w:sz w:val="20"/>
        <w:szCs w:val="20"/>
      </w:rPr>
      <w:t xml:space="preserve">                                           </w:t>
    </w:r>
  </w:p>
  <w:p w:rsidR="004415A7" w:rsidRDefault="006F015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E03CA">
      <w:rPr>
        <w:rFonts w:ascii="Arial" w:eastAsia="Arial" w:hAnsi="Arial" w:cs="Arial"/>
        <w:color w:val="000000"/>
        <w:sz w:val="20"/>
        <w:szCs w:val="20"/>
      </w:rPr>
      <w:fldChar w:fldCharType="separate"/>
    </w:r>
    <w:r w:rsidR="00BE03C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415A7" w:rsidRDefault="006F015D">
    <w:pPr>
      <w:spacing w:after="0" w:line="240" w:lineRule="auto"/>
      <w:jc w:val="both"/>
      <w:rPr>
        <w:rFonts w:ascii="Arial" w:eastAsia="Arial" w:hAnsi="Arial" w:cs="Arial"/>
        <w:sz w:val="20"/>
        <w:szCs w:val="20"/>
      </w:rPr>
    </w:pPr>
    <w:r>
      <w:rPr>
        <w:rFonts w:ascii="Arial" w:eastAsia="Arial" w:hAnsi="Arial" w:cs="Arial"/>
        <w:sz w:val="20"/>
        <w:szCs w:val="20"/>
      </w:rPr>
      <w:t>Model Version: v3.12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4415A7" w:rsidRDefault="006F015D">
    <w:pPr>
      <w:pBdr>
        <w:top w:val="nil"/>
        <w:left w:val="nil"/>
        <w:bottom w:val="nil"/>
        <w:right w:val="nil"/>
        <w:between w:val="nil"/>
      </w:pBdr>
      <w:tabs>
        <w:tab w:val="center" w:pos="4513"/>
        <w:tab w:val="right" w:pos="9026"/>
      </w:tabs>
      <w:spacing w:after="0" w:line="240" w:lineRule="auto"/>
      <w:rPr>
        <w:rFonts w:ascii="Trebuchet MS" w:eastAsia="Trebuchet MS" w:hAnsi="Trebuchet MS" w:cs="Trebuchet MS"/>
        <w:color w:val="000000"/>
        <w:sz w:val="16"/>
        <w:szCs w:val="16"/>
      </w:rPr>
    </w:pPr>
    <w:bookmarkStart w:id="3" w:name="_heading=h.1fob9te" w:colFirst="0" w:colLast="0"/>
    <w:bookmarkEnd w:id="3"/>
    <w:r>
      <w:rPr>
        <w:rFonts w:ascii="Trebuchet MS" w:eastAsia="Trebuchet MS" w:hAnsi="Trebuchet MS" w:cs="Trebuchet MS"/>
        <w:color w:val="000000"/>
        <w:sz w:val="16"/>
        <w:szCs w:val="16"/>
      </w:rPr>
      <w:t>LEGAL\61749463v1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5A7" w:rsidRDefault="004415A7">
    <w:pPr>
      <w:tabs>
        <w:tab w:val="center" w:pos="4513"/>
        <w:tab w:val="right" w:pos="9026"/>
      </w:tabs>
      <w:spacing w:after="0"/>
      <w:rPr>
        <w:rFonts w:ascii="Arial" w:eastAsia="Arial" w:hAnsi="Arial" w:cs="Arial"/>
        <w:color w:val="A6A6A6"/>
        <w:sz w:val="20"/>
        <w:szCs w:val="20"/>
      </w:rPr>
    </w:pPr>
  </w:p>
  <w:p w:rsidR="004415A7" w:rsidRDefault="006F015D">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4415A7" w:rsidRDefault="006F015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4415A7" w:rsidRDefault="006F015D">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p w:rsidR="004415A7" w:rsidRDefault="006F015D">
    <w:pPr>
      <w:pBdr>
        <w:top w:val="nil"/>
        <w:left w:val="nil"/>
        <w:bottom w:val="nil"/>
        <w:right w:val="nil"/>
        <w:between w:val="nil"/>
      </w:pBdr>
      <w:tabs>
        <w:tab w:val="center" w:pos="4513"/>
        <w:tab w:val="right" w:pos="9026"/>
      </w:tabs>
      <w:spacing w:after="0" w:line="240" w:lineRule="auto"/>
      <w:rPr>
        <w:rFonts w:ascii="Trebuchet MS" w:eastAsia="Trebuchet MS" w:hAnsi="Trebuchet MS" w:cs="Trebuchet MS"/>
        <w:color w:val="000000"/>
        <w:sz w:val="16"/>
        <w:szCs w:val="16"/>
      </w:rPr>
    </w:pPr>
    <w:bookmarkStart w:id="4" w:name="_heading=h.2et92p0" w:colFirst="0" w:colLast="0"/>
    <w:bookmarkEnd w:id="4"/>
    <w:r>
      <w:rPr>
        <w:rFonts w:ascii="Trebuchet MS" w:eastAsia="Trebuchet MS" w:hAnsi="Trebuchet MS" w:cs="Trebuchet MS"/>
        <w:color w:val="000000"/>
        <w:sz w:val="16"/>
        <w:szCs w:val="16"/>
      </w:rPr>
      <w:t>LEGAL\61749463v1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15D" w:rsidRDefault="006F015D">
      <w:pPr>
        <w:spacing w:after="0" w:line="240" w:lineRule="auto"/>
      </w:pPr>
      <w:r>
        <w:separator/>
      </w:r>
    </w:p>
  </w:footnote>
  <w:footnote w:type="continuationSeparator" w:id="0">
    <w:p w:rsidR="006F015D" w:rsidRDefault="006F01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5A7" w:rsidRDefault="006F015D">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4415A7" w:rsidRDefault="006F015D">
    <w:pPr>
      <w:pBdr>
        <w:top w:val="nil"/>
        <w:left w:val="nil"/>
        <w:bottom w:val="nil"/>
        <w:right w:val="nil"/>
        <w:between w:val="nil"/>
      </w:pBdr>
      <w:tabs>
        <w:tab w:val="center" w:pos="4513"/>
        <w:tab w:val="right" w:pos="9026"/>
      </w:tabs>
      <w:spacing w:after="0" w:line="240" w:lineRule="auto"/>
      <w:rPr>
        <w:color w:val="000000"/>
      </w:rPr>
    </w:pPr>
    <w:r>
      <w:rPr>
        <w:color w:val="000000"/>
      </w:rPr>
      <w:t>Crown Copyright 2023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5A7" w:rsidRDefault="006F015D">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4415A7" w:rsidRDefault="006F015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4415A7" w:rsidRDefault="004415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B2E2C"/>
    <w:multiLevelType w:val="multilevel"/>
    <w:tmpl w:val="2534A850"/>
    <w:lvl w:ilvl="0">
      <w:start w:val="1"/>
      <w:numFmt w:val="decimal"/>
      <w:pStyle w:val="GPSL4boldheading"/>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3CA00770"/>
    <w:multiLevelType w:val="multilevel"/>
    <w:tmpl w:val="0BD42F8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2" w15:restartNumberingAfterBreak="0">
    <w:nsid w:val="3CE31794"/>
    <w:multiLevelType w:val="multilevel"/>
    <w:tmpl w:val="5D06177C"/>
    <w:lvl w:ilvl="0">
      <w:start w:val="1"/>
      <w:numFmt w:val="decimal"/>
      <w:lvlText w:val="%1."/>
      <w:lvlJc w:val="left"/>
      <w:pPr>
        <w:ind w:left="644" w:hanging="357"/>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4E641B8A"/>
    <w:multiLevelType w:val="multilevel"/>
    <w:tmpl w:val="4B8A7C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5304ADB"/>
    <w:multiLevelType w:val="multilevel"/>
    <w:tmpl w:val="E034C67E"/>
    <w:lvl w:ilvl="0">
      <w:start w:val="1"/>
      <w:numFmt w:val="decimal"/>
      <w:pStyle w:val="11table"/>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573471D"/>
    <w:multiLevelType w:val="multilevel"/>
    <w:tmpl w:val="C55A8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5A7"/>
    <w:rsid w:val="004415A7"/>
    <w:rsid w:val="006F015D"/>
    <w:rsid w:val="00BE0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180CAD-6A07-41EE-9C06-65CE7B70F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customStyle="1" w:styleId="DocID">
    <w:name w:val="DocID"/>
    <w:basedOn w:val="Footer"/>
    <w:next w:val="Footer"/>
    <w:link w:val="DocIDChar"/>
    <w:rsid w:val="003039B4"/>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3039B4"/>
    <w:rPr>
      <w:rFonts w:ascii="Trebuchet MS" w:eastAsia="Times New Roman" w:hAnsi="Trebuchet MS" w:cs="Times New Roman"/>
      <w:sz w:val="16"/>
      <w:szCs w:val="20"/>
      <w:lang w:val="en-GB" w:eastAsia="en-GB"/>
    </w:rPr>
  </w:style>
  <w:style w:type="table" w:customStyle="1" w:styleId="a5">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6">
    <w:basedOn w:val="TableNormal"/>
    <w:rPr>
      <w:color w:val="366091"/>
    </w:rPr>
    <w:tblPr>
      <w:tblStyleRowBandSize w:val="1"/>
      <w:tblStyleColBandSize w:val="1"/>
    </w:tblPr>
  </w:style>
  <w:style w:type="table" w:customStyle="1" w:styleId="a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j+O4WXjL4ARuO3/m7pNOd+yY5A==">CgMxLjAyCWguMzBqMHpsbDIOaC41Y2l2cDd0ZW51ZWkyCGguZ2pkZ3hzMg5oLjF6Y3k1dHA0NjRmZDIKaWQuMzBqMHpsbDIJaC4xZm9iOXRlMgloLjN6bnlzaDcyCWguMmV0OTJwMDgAciExSm40dVljQUFwOUwxTm1CUGRyMGJaN2FFQ0FyVEotQXE=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1044</Words>
  <Characters>5952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Stephanie Wallace</cp:lastModifiedBy>
  <cp:revision>2</cp:revision>
  <dcterms:created xsi:type="dcterms:W3CDTF">2023-05-30T09:30:00Z</dcterms:created>
  <dcterms:modified xsi:type="dcterms:W3CDTF">2023-05-30T09:30:00Z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US_DocIDString">
    <vt:lpwstr>LEGAL\61749463v1</vt:lpwstr>
  </property>
  <property fmtid="{D5CDD505-2E9C-101B-9397-08002B2CF9AE}" pid="4" name="CUS_DocIDChunk0">
    <vt:lpwstr>LEGAL\61749463v1</vt:lpwstr>
  </property>
  <property fmtid="{D5CDD505-2E9C-101B-9397-08002B2CF9AE}" pid="5" name="CUS_DocIDActiveBits">
    <vt:lpwstr>129024</vt:lpwstr>
  </property>
  <property fmtid="{D5CDD505-2E9C-101B-9397-08002B2CF9AE}" pid="6" name="CUS_DocIDLocation">
    <vt:lpwstr>EVERY_PAGE</vt:lpwstr>
  </property>
  <property fmtid="{D5CDD505-2E9C-101B-9397-08002B2CF9AE}" pid="7" name="CUS_DocIDReference">
    <vt:lpwstr>everyPage</vt:lpwstr>
  </property>
</Properties>
</file>